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6263" w14:textId="00D0016F" w:rsidR="00AE1023" w:rsidRPr="00AE1023" w:rsidRDefault="00AE1023" w:rsidP="00AE1023">
      <w:pPr>
        <w:numPr>
          <w:ilvl w:val="0"/>
          <w:numId w:val="1"/>
        </w:numPr>
        <w:rPr>
          <w:b/>
          <w:bCs/>
        </w:rPr>
      </w:pPr>
      <w:r w:rsidRPr="00AE1023">
        <w:rPr>
          <w:b/>
          <w:bCs/>
        </w:rPr>
        <w:t>Review of</w:t>
      </w:r>
      <w:r w:rsidRPr="00AE1023">
        <w:rPr>
          <w:b/>
          <w:bCs/>
        </w:rPr>
        <w:t xml:space="preserve"> how to use travel units:</w:t>
      </w:r>
    </w:p>
    <w:p w14:paraId="58176FDE" w14:textId="77777777" w:rsidR="00AE1023" w:rsidRPr="00AE1023" w:rsidRDefault="00AE1023" w:rsidP="00AE1023">
      <w:pPr>
        <w:numPr>
          <w:ilvl w:val="1"/>
          <w:numId w:val="1"/>
        </w:numPr>
      </w:pPr>
      <w:r w:rsidRPr="00AE1023">
        <w:t>Per travel policy-located on SharePoint</w:t>
      </w:r>
    </w:p>
    <w:p w14:paraId="162B73D0" w14:textId="77777777" w:rsidR="00AE1023" w:rsidRPr="00AE1023" w:rsidRDefault="00AE1023" w:rsidP="00AE1023">
      <w:r w:rsidRPr="00AE1023">
        <w:t>CCS providers may bill a consumer’s Medicaid insurance for travel to and/or from an in-person direct contact service that is medically necessary as described and authorized in the consumer’s service plan. </w:t>
      </w:r>
    </w:p>
    <w:p w14:paraId="1C06B613" w14:textId="77777777" w:rsidR="00AE1023" w:rsidRPr="00AE1023" w:rsidRDefault="00AE1023" w:rsidP="00AE1023">
      <w:r w:rsidRPr="00AE1023">
        <w:t> </w:t>
      </w:r>
    </w:p>
    <w:p w14:paraId="4883C3A1" w14:textId="00AB839B" w:rsidR="00AE1023" w:rsidRPr="00AE1023" w:rsidRDefault="00AE1023" w:rsidP="00AE1023">
      <w:pPr>
        <w:numPr>
          <w:ilvl w:val="0"/>
          <w:numId w:val="2"/>
        </w:numPr>
      </w:pPr>
      <w:r w:rsidRPr="00AE1023">
        <w:t xml:space="preserve">Travel billing claims must include total time travel and total distance in miles traveled clearly documented in the </w:t>
      </w:r>
      <w:r w:rsidRPr="00AE1023">
        <w:t>consumer</w:t>
      </w:r>
      <w:r w:rsidRPr="00AE1023">
        <w:t xml:space="preserve"> chart. </w:t>
      </w:r>
    </w:p>
    <w:p w14:paraId="01F4D155" w14:textId="77777777" w:rsidR="00AE1023" w:rsidRPr="00AE1023" w:rsidRDefault="00AE1023" w:rsidP="00AE1023">
      <w:r w:rsidRPr="00AE1023">
        <w:t>  </w:t>
      </w:r>
    </w:p>
    <w:p w14:paraId="280F5530" w14:textId="26345CF4" w:rsidR="00AE1023" w:rsidRPr="00AE1023" w:rsidRDefault="00AE1023" w:rsidP="00AE1023">
      <w:pPr>
        <w:numPr>
          <w:ilvl w:val="0"/>
          <w:numId w:val="3"/>
        </w:numPr>
      </w:pPr>
      <w:r w:rsidRPr="00AE1023">
        <w:t>Total time traveled for consumer must be added up before rounding to the nearest 15-minute unit per CPT rounding guidelines.   </w:t>
      </w:r>
    </w:p>
    <w:p w14:paraId="6F43EBD4" w14:textId="77777777" w:rsidR="00AE1023" w:rsidRPr="00AE1023" w:rsidRDefault="00AE1023" w:rsidP="00AE1023">
      <w:r w:rsidRPr="00AE1023">
        <w:t> </w:t>
      </w:r>
    </w:p>
    <w:p w14:paraId="1BBB093F" w14:textId="77777777" w:rsidR="00AE1023" w:rsidRPr="00AE1023" w:rsidRDefault="00AE1023" w:rsidP="00AE1023">
      <w:pPr>
        <w:numPr>
          <w:ilvl w:val="0"/>
          <w:numId w:val="4"/>
        </w:numPr>
      </w:pPr>
      <w:r w:rsidRPr="00AE1023">
        <w:t>Group Travel: provider travel time to a group service should be submitted on the claim for each member in the group. CCS defines group as more than one recipient of services and may include members from other programs and/or funding sources (e.g. CCS, CLTS, Family Care, </w:t>
      </w:r>
      <w:proofErr w:type="spellStart"/>
      <w:r w:rsidRPr="00AE1023">
        <w:t>etc</w:t>
      </w:r>
      <w:proofErr w:type="spellEnd"/>
      <w:r w:rsidRPr="00AE1023">
        <w:t>) </w:t>
      </w:r>
    </w:p>
    <w:p w14:paraId="715E78A5" w14:textId="77777777" w:rsidR="00AE1023" w:rsidRPr="00AE1023" w:rsidRDefault="00AE1023" w:rsidP="00AE1023">
      <w:r w:rsidRPr="00AE1023">
        <w:t> </w:t>
      </w:r>
    </w:p>
    <w:p w14:paraId="50474C13" w14:textId="47A6813A" w:rsidR="00AE1023" w:rsidRPr="00AE1023" w:rsidRDefault="00AE1023" w:rsidP="00AE1023">
      <w:pPr>
        <w:pStyle w:val="ListParagraph"/>
        <w:numPr>
          <w:ilvl w:val="0"/>
          <w:numId w:val="4"/>
        </w:numPr>
      </w:pPr>
      <w:r w:rsidRPr="00AE1023">
        <w:t>Travel claims must be submitted in conjunction with the in-person direct service contact documentation and invoice claims. </w:t>
      </w:r>
    </w:p>
    <w:p w14:paraId="5A3E51BD" w14:textId="77777777" w:rsidR="00AE1023" w:rsidRPr="00AE1023" w:rsidRDefault="00AE1023" w:rsidP="00AE1023">
      <w:r w:rsidRPr="00AE1023">
        <w:t> </w:t>
      </w:r>
    </w:p>
    <w:p w14:paraId="23D29B86" w14:textId="7507F70C" w:rsidR="00AE1023" w:rsidRPr="00AE1023" w:rsidRDefault="00AE1023" w:rsidP="00AE1023">
      <w:pPr>
        <w:pStyle w:val="ListParagraph"/>
        <w:numPr>
          <w:ilvl w:val="0"/>
          <w:numId w:val="4"/>
        </w:numPr>
      </w:pPr>
      <w:r w:rsidRPr="00AE1023">
        <w:t>If there is no in-person direct service contact, travel time is non-billable. Travel cannot be billed for a telehealth service. Providers may document any non-billable travel for record keeping purposes. </w:t>
      </w:r>
    </w:p>
    <w:p w14:paraId="61A531AE" w14:textId="77777777" w:rsidR="00AE1023" w:rsidRPr="00AE1023" w:rsidRDefault="00AE1023" w:rsidP="00AE1023">
      <w:pPr>
        <w:rPr>
          <w:b/>
          <w:bCs/>
        </w:rPr>
      </w:pPr>
      <w:r w:rsidRPr="00AE1023">
        <w:rPr>
          <w:b/>
          <w:bCs/>
        </w:rPr>
        <w:t>  </w:t>
      </w:r>
    </w:p>
    <w:p w14:paraId="196FBD6D" w14:textId="4949C581" w:rsidR="00AE1023" w:rsidRPr="00AE1023" w:rsidRDefault="00AE1023" w:rsidP="00AE1023">
      <w:pPr>
        <w:ind w:firstLine="360"/>
        <w:rPr>
          <w:b/>
          <w:bCs/>
        </w:rPr>
      </w:pPr>
      <w:r w:rsidRPr="00AE1023">
        <w:rPr>
          <w:b/>
          <w:bCs/>
        </w:rPr>
        <w:t>WRIC CCS does not support the Medicaid reimbursement for a staff member’s normal commute to a workplace setting</w:t>
      </w:r>
      <w:r w:rsidRPr="00AE1023">
        <w:rPr>
          <w:b/>
          <w:bCs/>
        </w:rPr>
        <w:t>:</w:t>
      </w:r>
    </w:p>
    <w:p w14:paraId="6EC2B093" w14:textId="77777777" w:rsidR="00AE1023" w:rsidRPr="00AE1023" w:rsidRDefault="00AE1023" w:rsidP="00AE1023">
      <w:r w:rsidRPr="00AE1023">
        <w:t> </w:t>
      </w:r>
    </w:p>
    <w:p w14:paraId="3DFCD729" w14:textId="77777777" w:rsidR="00AE1023" w:rsidRPr="00AE1023" w:rsidRDefault="00AE1023" w:rsidP="00AE1023">
      <w:pPr>
        <w:numPr>
          <w:ilvl w:val="0"/>
          <w:numId w:val="8"/>
        </w:numPr>
      </w:pPr>
      <w:r w:rsidRPr="00AE1023">
        <w:t>Providers cannot claim the costs of driving a vehicle between their home and their regular place of work. These costs are personal commuting expenses. Providers cannot claim commuting expenses no matter how far their home is from their regular place of work.  </w:t>
      </w:r>
    </w:p>
    <w:p w14:paraId="27D71F21" w14:textId="77777777" w:rsidR="00AE1023" w:rsidRPr="00AE1023" w:rsidRDefault="00AE1023" w:rsidP="00AE1023">
      <w:pPr>
        <w:numPr>
          <w:ilvl w:val="0"/>
          <w:numId w:val="8"/>
        </w:numPr>
      </w:pPr>
      <w:r w:rsidRPr="00AE1023">
        <w:t xml:space="preserve">Primary or regular place of work is the location </w:t>
      </w:r>
      <w:proofErr w:type="gramStart"/>
      <w:r w:rsidRPr="00AE1023">
        <w:t>that</w:t>
      </w:r>
      <w:proofErr w:type="gramEnd"/>
      <w:r w:rsidRPr="00AE1023">
        <w:t> a provider ordinally spends time conducting services. This may include an agency office building, agency satellite office building, a staff member’s home office, or other regular workplace location. Leased or rented office spaces are considered satellite offices for the purposes of this guidance.  </w:t>
      </w:r>
    </w:p>
    <w:p w14:paraId="02D209A9" w14:textId="77777777" w:rsidR="00AE1023" w:rsidRPr="00AE1023" w:rsidRDefault="00AE1023" w:rsidP="00AE1023">
      <w:pPr>
        <w:numPr>
          <w:ilvl w:val="1"/>
          <w:numId w:val="9"/>
        </w:numPr>
      </w:pPr>
      <w:r w:rsidRPr="00AE1023">
        <w:t>Home Office: If provider has an office in their home that serves as their primary place of business, the provider may claim travel time between their home and a direct consumer service.  </w:t>
      </w:r>
    </w:p>
    <w:p w14:paraId="4EC9559C" w14:textId="77777777" w:rsidR="00AE1023" w:rsidRPr="00AE1023" w:rsidRDefault="00AE1023" w:rsidP="00AE1023">
      <w:r w:rsidRPr="00AE1023">
        <w:t> </w:t>
      </w:r>
    </w:p>
    <w:p w14:paraId="1CE62AE0" w14:textId="77777777" w:rsidR="00AE1023" w:rsidRPr="00AE1023" w:rsidRDefault="00AE1023" w:rsidP="00AE1023">
      <w:pPr>
        <w:numPr>
          <w:ilvl w:val="0"/>
          <w:numId w:val="10"/>
        </w:numPr>
      </w:pPr>
      <w:r w:rsidRPr="00AE1023">
        <w:t>Two places of work/Traveling between satellite offices: If a provider works at two places in the same day, they may claim the time of getting from one workplace to the other. The provider must have a business need or service at both workplace locations and not simply travel past one workplace to commute to a secondary workplace.  </w:t>
      </w:r>
    </w:p>
    <w:p w14:paraId="45079EC1" w14:textId="77777777" w:rsidR="00AE1023" w:rsidRPr="00AE1023" w:rsidRDefault="00AE1023" w:rsidP="00AE1023">
      <w:r w:rsidRPr="00AE1023">
        <w:t> </w:t>
      </w:r>
    </w:p>
    <w:p w14:paraId="5062219D" w14:textId="77777777" w:rsidR="00AE1023" w:rsidRPr="00AE1023" w:rsidRDefault="00AE1023" w:rsidP="00AE1023">
      <w:pPr>
        <w:numPr>
          <w:ilvl w:val="0"/>
          <w:numId w:val="11"/>
        </w:numPr>
      </w:pPr>
      <w:r w:rsidRPr="00AE1023">
        <w:t xml:space="preserve">If for some personal reason the provider does not go directly from one service location to another, a provider cannot </w:t>
      </w:r>
      <w:proofErr w:type="gramStart"/>
      <w:r w:rsidRPr="00AE1023">
        <w:t>bill to</w:t>
      </w:r>
      <w:proofErr w:type="gramEnd"/>
      <w:r w:rsidRPr="00AE1023">
        <w:t xml:space="preserve"> the consumer’s Medicaid insurance for the provider’s own personal business travel.  </w:t>
      </w:r>
    </w:p>
    <w:p w14:paraId="5FB05328" w14:textId="77777777" w:rsidR="00AE1023" w:rsidRPr="00AE1023" w:rsidRDefault="00AE1023" w:rsidP="00AE1023">
      <w:pPr>
        <w:numPr>
          <w:ilvl w:val="0"/>
          <w:numId w:val="11"/>
        </w:numPr>
      </w:pPr>
      <w:r w:rsidRPr="00AE1023">
        <w:t>Any questions please review the travel policy and send individual questions to HS Sups mailbox.</w:t>
      </w:r>
    </w:p>
    <w:p w14:paraId="0A731E8B" w14:textId="77777777" w:rsidR="00AE1023" w:rsidRPr="00AE1023" w:rsidRDefault="00AE1023" w:rsidP="00AE1023">
      <w:r w:rsidRPr="00AE1023">
        <w:t> </w:t>
      </w:r>
    </w:p>
    <w:p w14:paraId="7D677B61" w14:textId="665AEF05" w:rsidR="00AE1023" w:rsidRPr="00AE1023" w:rsidRDefault="00AE1023" w:rsidP="00AE1023">
      <w:pPr>
        <w:numPr>
          <w:ilvl w:val="0"/>
          <w:numId w:val="12"/>
        </w:numPr>
        <w:rPr>
          <w:b/>
          <w:bCs/>
        </w:rPr>
      </w:pPr>
      <w:r w:rsidRPr="00AE1023">
        <w:rPr>
          <w:b/>
          <w:bCs/>
        </w:rPr>
        <w:t>Annual Log Due Date Reminder</w:t>
      </w:r>
      <w:r>
        <w:rPr>
          <w:b/>
          <w:bCs/>
        </w:rPr>
        <w:t>:</w:t>
      </w:r>
    </w:p>
    <w:p w14:paraId="05F543FC" w14:textId="77777777" w:rsidR="00AE1023" w:rsidRPr="00AE1023" w:rsidRDefault="00AE1023" w:rsidP="00AE1023">
      <w:pPr>
        <w:numPr>
          <w:ilvl w:val="1"/>
          <w:numId w:val="12"/>
        </w:numPr>
        <w:rPr>
          <w:b/>
          <w:bCs/>
        </w:rPr>
      </w:pPr>
      <w:r w:rsidRPr="00AE1023">
        <w:rPr>
          <w:b/>
          <w:bCs/>
        </w:rPr>
        <w:t xml:space="preserve">Annual trainings logs are due 9/1/26.  As a reminder, if you have upcoming trainings, please indicate this on the log or in communication with Program Specialists.  As a reminder, the purpose of this is to ensure all providers have adequate training to meet statute requirements.  By submitting 9/1, PS can review and provide direction as needed to meet CCS requirements.  </w:t>
      </w:r>
    </w:p>
    <w:p w14:paraId="2D3DC4E2" w14:textId="77777777" w:rsidR="00AE1023" w:rsidRPr="00AE1023" w:rsidRDefault="00AE1023" w:rsidP="00AE1023">
      <w:r w:rsidRPr="00AE1023">
        <w:t> </w:t>
      </w:r>
    </w:p>
    <w:p w14:paraId="35B6DDA1" w14:textId="3E06F155" w:rsidR="00AE1023" w:rsidRPr="00AE1023" w:rsidRDefault="00AE1023" w:rsidP="00AE1023">
      <w:pPr>
        <w:numPr>
          <w:ilvl w:val="0"/>
          <w:numId w:val="13"/>
        </w:numPr>
      </w:pPr>
      <w:r w:rsidRPr="00AE1023">
        <w:rPr>
          <w:b/>
          <w:bCs/>
        </w:rPr>
        <w:t xml:space="preserve">Pre-filled logs </w:t>
      </w:r>
    </w:p>
    <w:p w14:paraId="436146ED" w14:textId="77777777" w:rsidR="00AE1023" w:rsidRPr="00AE1023" w:rsidRDefault="00AE1023" w:rsidP="00AE1023">
      <w:pPr>
        <w:numPr>
          <w:ilvl w:val="1"/>
          <w:numId w:val="14"/>
        </w:numPr>
      </w:pPr>
      <w:r w:rsidRPr="00AE1023">
        <w:t xml:space="preserve">Prefilled RW and Orientation logs have </w:t>
      </w:r>
      <w:proofErr w:type="gramStart"/>
      <w:r w:rsidRPr="00AE1023">
        <w:t>been  developed</w:t>
      </w:r>
      <w:proofErr w:type="gramEnd"/>
      <w:r w:rsidRPr="00AE1023">
        <w:t xml:space="preserve"> to reduce confusion and increase efficiency when onboarding new staff. These will be located on </w:t>
      </w:r>
      <w:proofErr w:type="spellStart"/>
      <w:r w:rsidRPr="00AE1023">
        <w:t>Sharepoint</w:t>
      </w:r>
      <w:proofErr w:type="spellEnd"/>
      <w:r w:rsidRPr="00AE1023">
        <w:t xml:space="preserve">.   </w:t>
      </w:r>
    </w:p>
    <w:p w14:paraId="05EAB8FC" w14:textId="77777777" w:rsidR="00AE1023" w:rsidRPr="00AE1023" w:rsidRDefault="00AE1023" w:rsidP="00AE1023">
      <w:pPr>
        <w:numPr>
          <w:ilvl w:val="1"/>
          <w:numId w:val="14"/>
        </w:numPr>
      </w:pPr>
      <w:r w:rsidRPr="00AE1023">
        <w:t>The use of these logs begins effective immediately.</w:t>
      </w:r>
    </w:p>
    <w:p w14:paraId="18C74895" w14:textId="77777777" w:rsidR="00AE1023" w:rsidRPr="00AE1023" w:rsidRDefault="00AE1023" w:rsidP="00AE1023">
      <w:pPr>
        <w:numPr>
          <w:ilvl w:val="1"/>
          <w:numId w:val="14"/>
        </w:numPr>
      </w:pPr>
      <w:r w:rsidRPr="00AE1023">
        <w:t xml:space="preserve">If you are currently working on </w:t>
      </w:r>
      <w:proofErr w:type="gramStart"/>
      <w:r w:rsidRPr="00AE1023">
        <w:t>a RW</w:t>
      </w:r>
      <w:proofErr w:type="gramEnd"/>
      <w:r w:rsidRPr="00AE1023">
        <w:t xml:space="preserve"> or Orientation log, please continue to do so. </w:t>
      </w:r>
    </w:p>
    <w:p w14:paraId="303835FA" w14:textId="77777777" w:rsidR="00AE1023" w:rsidRPr="00AE1023" w:rsidRDefault="00AE1023" w:rsidP="00AE1023">
      <w:r w:rsidRPr="00AE1023">
        <w:t> </w:t>
      </w:r>
    </w:p>
    <w:p w14:paraId="777B73FC" w14:textId="11DF33F6" w:rsidR="00AE1023" w:rsidRPr="00AE1023" w:rsidRDefault="00AE1023" w:rsidP="00AE1023">
      <w:pPr>
        <w:numPr>
          <w:ilvl w:val="0"/>
          <w:numId w:val="15"/>
        </w:numPr>
      </w:pPr>
      <w:r w:rsidRPr="00AE1023">
        <w:rPr>
          <w:b/>
          <w:bCs/>
        </w:rPr>
        <w:t xml:space="preserve">Ethics and Boundaries </w:t>
      </w:r>
      <w:r w:rsidRPr="00AE1023">
        <w:t xml:space="preserve">  </w:t>
      </w:r>
    </w:p>
    <w:p w14:paraId="561D8547" w14:textId="77777777" w:rsidR="00AE1023" w:rsidRPr="00AE1023" w:rsidRDefault="00AE1023" w:rsidP="00AE1023">
      <w:pPr>
        <w:numPr>
          <w:ilvl w:val="1"/>
          <w:numId w:val="16"/>
        </w:numPr>
      </w:pPr>
      <w:r w:rsidRPr="00AE1023">
        <w:t xml:space="preserve">After internal discussion and ongoing challenges for vendors, it has been decided interactive trainings for Ethics and Boundaries will be approved moving forward.  </w:t>
      </w:r>
    </w:p>
    <w:p w14:paraId="458EE303" w14:textId="77777777" w:rsidR="00AE1023" w:rsidRPr="00AE1023" w:rsidRDefault="00AE1023" w:rsidP="00AE1023">
      <w:pPr>
        <w:numPr>
          <w:ilvl w:val="1"/>
          <w:numId w:val="16"/>
        </w:numPr>
      </w:pPr>
      <w:r w:rsidRPr="00AE1023">
        <w:t xml:space="preserve">The definition of interactive training </w:t>
      </w:r>
      <w:proofErr w:type="gramStart"/>
      <w:r w:rsidRPr="00AE1023">
        <w:t>is:</w:t>
      </w:r>
      <w:proofErr w:type="gramEnd"/>
      <w:r w:rsidRPr="00AE1023">
        <w:t xml:space="preserve"> training that requires interaction (e.g. quizzes, interactive activities throughout, simulations, competency test at the end, </w:t>
      </w:r>
      <w:proofErr w:type="spellStart"/>
      <w:r w:rsidRPr="00AE1023">
        <w:t>etc</w:t>
      </w:r>
      <w:proofErr w:type="spellEnd"/>
      <w:r w:rsidRPr="00AE1023">
        <w:t>), not just a text-based presentation.</w:t>
      </w:r>
    </w:p>
    <w:p w14:paraId="15A7CB5A" w14:textId="77777777" w:rsidR="00AE1023" w:rsidRPr="00AE1023" w:rsidRDefault="00AE1023" w:rsidP="00AE1023">
      <w:r w:rsidRPr="00AE1023">
        <w:t> </w:t>
      </w:r>
    </w:p>
    <w:p w14:paraId="6130E654" w14:textId="0FC97ECD" w:rsidR="00AE1023" w:rsidRPr="00AE1023" w:rsidRDefault="00AE1023" w:rsidP="00AE1023">
      <w:pPr>
        <w:numPr>
          <w:ilvl w:val="0"/>
          <w:numId w:val="17"/>
        </w:numPr>
      </w:pPr>
      <w:r w:rsidRPr="00AE1023">
        <w:rPr>
          <w:b/>
          <w:bCs/>
        </w:rPr>
        <w:t>Service Plans</w:t>
      </w:r>
    </w:p>
    <w:p w14:paraId="2C010BEB" w14:textId="77777777" w:rsidR="00AE1023" w:rsidRPr="00AE1023" w:rsidRDefault="00AE1023" w:rsidP="00AE1023">
      <w:pPr>
        <w:numPr>
          <w:ilvl w:val="1"/>
          <w:numId w:val="18"/>
        </w:numPr>
      </w:pPr>
      <w:r w:rsidRPr="00AE1023">
        <w:t xml:space="preserve">Providers should ensure they are reading and understanding the service plans being sent to them.  Service Plans are the guidelines for what vendors are being asked to do with consumers.  Comprehension of these plans and how the work being done relates to the consumer need is paramount for vendors to understand.  </w:t>
      </w:r>
    </w:p>
    <w:p w14:paraId="3F330353" w14:textId="77777777" w:rsidR="00AE1023" w:rsidRPr="00AE1023" w:rsidRDefault="00AE1023" w:rsidP="00AE1023">
      <w:pPr>
        <w:numPr>
          <w:ilvl w:val="1"/>
          <w:numId w:val="18"/>
        </w:numPr>
      </w:pPr>
      <w:r w:rsidRPr="00AE1023">
        <w:t xml:space="preserve">Services should be focused on meeting recovery needs (building skills vs. mentoring).  </w:t>
      </w:r>
    </w:p>
    <w:p w14:paraId="23134F89" w14:textId="77777777" w:rsidR="00AE1023" w:rsidRPr="00AE1023" w:rsidRDefault="00AE1023" w:rsidP="00AE1023">
      <w:pPr>
        <w:numPr>
          <w:ilvl w:val="1"/>
          <w:numId w:val="18"/>
        </w:numPr>
      </w:pPr>
      <w:r w:rsidRPr="00AE1023">
        <w:t xml:space="preserve">The expectation is that vendors should be able to explain the services being provided and how the service relates to the consumer's recovery goals.  </w:t>
      </w:r>
    </w:p>
    <w:p w14:paraId="36DF0014" w14:textId="0C077D60" w:rsidR="00AE1023" w:rsidRPr="00AE1023" w:rsidRDefault="00AE1023" w:rsidP="00AE1023">
      <w:pPr>
        <w:numPr>
          <w:ilvl w:val="0"/>
          <w:numId w:val="19"/>
        </w:numPr>
        <w:rPr>
          <w:b/>
          <w:bCs/>
        </w:rPr>
      </w:pPr>
      <w:r w:rsidRPr="00AE1023">
        <w:rPr>
          <w:b/>
          <w:bCs/>
        </w:rPr>
        <w:t xml:space="preserve">Utilization of AI </w:t>
      </w:r>
    </w:p>
    <w:p w14:paraId="2412D9C8" w14:textId="77777777" w:rsidR="00AE1023" w:rsidRPr="00AE1023" w:rsidRDefault="00AE1023" w:rsidP="00AE1023">
      <w:pPr>
        <w:numPr>
          <w:ilvl w:val="1"/>
          <w:numId w:val="19"/>
        </w:numPr>
        <w:rPr>
          <w:b/>
          <w:bCs/>
        </w:rPr>
      </w:pPr>
      <w:r w:rsidRPr="00AE1023">
        <w:rPr>
          <w:b/>
          <w:bCs/>
        </w:rPr>
        <w:t>In general, attendees cannot use AI notetaking bots for WI government agency meetings</w:t>
      </w:r>
    </w:p>
    <w:p w14:paraId="02399152" w14:textId="77777777" w:rsidR="00AE1023" w:rsidRPr="00AE1023" w:rsidRDefault="00AE1023" w:rsidP="00AE1023">
      <w:pPr>
        <w:numPr>
          <w:ilvl w:val="1"/>
          <w:numId w:val="19"/>
        </w:numPr>
        <w:rPr>
          <w:b/>
          <w:bCs/>
        </w:rPr>
      </w:pPr>
      <w:r w:rsidRPr="00AE1023">
        <w:rPr>
          <w:b/>
          <w:bCs/>
        </w:rPr>
        <w:t xml:space="preserve">Consideration: For use in client documentation, </w:t>
      </w:r>
    </w:p>
    <w:p w14:paraId="7588AB16" w14:textId="77777777" w:rsidR="00AE1023" w:rsidRPr="00AE1023" w:rsidRDefault="00AE1023" w:rsidP="00AE1023">
      <w:pPr>
        <w:numPr>
          <w:ilvl w:val="2"/>
          <w:numId w:val="19"/>
        </w:numPr>
        <w:rPr>
          <w:b/>
          <w:bCs/>
        </w:rPr>
      </w:pPr>
      <w:r w:rsidRPr="00AE1023">
        <w:rPr>
          <w:b/>
          <w:bCs/>
        </w:rPr>
        <w:t xml:space="preserve">ensure methods are confidential and protect client information. No PHI can be used (e.g. basic demographic information: name, age, gender, address, diagnosis, </w:t>
      </w:r>
      <w:proofErr w:type="gramStart"/>
      <w:r w:rsidRPr="00AE1023">
        <w:rPr>
          <w:b/>
          <w:bCs/>
        </w:rPr>
        <w:t>any dates</w:t>
      </w:r>
      <w:proofErr w:type="gramEnd"/>
      <w:r w:rsidRPr="00AE1023">
        <w:rPr>
          <w:b/>
          <w:bCs/>
        </w:rPr>
        <w:t>, contact information, uniquely identifying information</w:t>
      </w:r>
    </w:p>
    <w:p w14:paraId="171862F5" w14:textId="77777777" w:rsidR="00AE1023" w:rsidRPr="00AE1023" w:rsidRDefault="00AE1023" w:rsidP="00AE1023">
      <w:pPr>
        <w:numPr>
          <w:ilvl w:val="2"/>
          <w:numId w:val="19"/>
        </w:numPr>
        <w:rPr>
          <w:b/>
          <w:bCs/>
        </w:rPr>
      </w:pPr>
      <w:r w:rsidRPr="00AE1023">
        <w:rPr>
          <w:b/>
          <w:bCs/>
        </w:rPr>
        <w:t xml:space="preserve">Thoughts: In general, cannot use 'free' AI </w:t>
      </w:r>
      <w:proofErr w:type="gramStart"/>
      <w:r w:rsidRPr="00AE1023">
        <w:rPr>
          <w:b/>
          <w:bCs/>
        </w:rPr>
        <w:t>bots</w:t>
      </w:r>
      <w:proofErr w:type="gramEnd"/>
      <w:r w:rsidRPr="00AE1023">
        <w:rPr>
          <w:b/>
          <w:bCs/>
        </w:rPr>
        <w:t xml:space="preserve"> for client documents (Chat GPT, Copilot, </w:t>
      </w:r>
      <w:proofErr w:type="spellStart"/>
      <w:r w:rsidRPr="00AE1023">
        <w:rPr>
          <w:b/>
          <w:bCs/>
        </w:rPr>
        <w:t>etc</w:t>
      </w:r>
      <w:proofErr w:type="spellEnd"/>
      <w:r w:rsidRPr="00AE1023">
        <w:rPr>
          <w:b/>
          <w:bCs/>
        </w:rPr>
        <w:t xml:space="preserve">). Would need a HIPPA compliant/closed AI system for client documents. </w:t>
      </w:r>
    </w:p>
    <w:p w14:paraId="1D991411" w14:textId="77777777" w:rsidR="00AE1023" w:rsidRPr="00AE1023" w:rsidRDefault="00AE1023" w:rsidP="00AE1023">
      <w:r w:rsidRPr="00AE1023">
        <w:t> </w:t>
      </w:r>
    </w:p>
    <w:p w14:paraId="14A39975" w14:textId="187F2652" w:rsidR="00AE1023" w:rsidRPr="00AE1023" w:rsidRDefault="00AE1023" w:rsidP="00AE1023">
      <w:pPr>
        <w:numPr>
          <w:ilvl w:val="0"/>
          <w:numId w:val="20"/>
        </w:numPr>
      </w:pPr>
      <w:r w:rsidRPr="00AE1023">
        <w:rPr>
          <w:b/>
          <w:bCs/>
        </w:rPr>
        <w:t>DQA audit</w:t>
      </w:r>
    </w:p>
    <w:p w14:paraId="6342E9B4" w14:textId="77777777" w:rsidR="00AE1023" w:rsidRPr="00AE1023" w:rsidRDefault="00AE1023" w:rsidP="00AE1023">
      <w:pPr>
        <w:numPr>
          <w:ilvl w:val="1"/>
          <w:numId w:val="21"/>
        </w:numPr>
      </w:pPr>
      <w:r w:rsidRPr="00AE1023">
        <w:t xml:space="preserve">DQA audit occurred on May 7.  </w:t>
      </w:r>
    </w:p>
    <w:p w14:paraId="190C942E" w14:textId="77777777" w:rsidR="00AE1023" w:rsidRPr="00AE1023" w:rsidRDefault="00AE1023" w:rsidP="00AE1023">
      <w:pPr>
        <w:numPr>
          <w:ilvl w:val="1"/>
          <w:numId w:val="21"/>
        </w:numPr>
      </w:pPr>
      <w:r w:rsidRPr="00AE1023">
        <w:t xml:space="preserve">Thank you to all the vendors that were selected </w:t>
      </w:r>
      <w:proofErr w:type="gramStart"/>
      <w:r w:rsidRPr="00AE1023">
        <w:t>for being</w:t>
      </w:r>
      <w:proofErr w:type="gramEnd"/>
      <w:r w:rsidRPr="00AE1023">
        <w:t xml:space="preserve"> available for potential questions from DQA and for having all needed documents submitted.  </w:t>
      </w:r>
    </w:p>
    <w:p w14:paraId="129D70DF" w14:textId="77777777" w:rsidR="00AE1023" w:rsidRPr="00AE1023" w:rsidRDefault="00AE1023" w:rsidP="00AE1023">
      <w:pPr>
        <w:numPr>
          <w:ilvl w:val="1"/>
          <w:numId w:val="21"/>
        </w:numPr>
      </w:pPr>
      <w:r w:rsidRPr="00AE1023">
        <w:t>Thank you to our internal QA team and Program Specialists for ensuring all documents were available for review.</w:t>
      </w:r>
    </w:p>
    <w:p w14:paraId="3CFFCB6A" w14:textId="77777777" w:rsidR="00AE1023" w:rsidRPr="00AE1023" w:rsidRDefault="00AE1023" w:rsidP="00AE1023">
      <w:pPr>
        <w:numPr>
          <w:ilvl w:val="1"/>
          <w:numId w:val="21"/>
        </w:numPr>
      </w:pPr>
      <w:proofErr w:type="gramStart"/>
      <w:r w:rsidRPr="00AE1023">
        <w:t>Overall</w:t>
      </w:r>
      <w:proofErr w:type="gramEnd"/>
      <w:r w:rsidRPr="00AE1023">
        <w:t xml:space="preserve"> the audit outcome was good.  Moving forward, we will need to continue to focus on Quality Innovation and the value of the coordination committee in future planning.  </w:t>
      </w:r>
    </w:p>
    <w:p w14:paraId="3C2B8863" w14:textId="77777777" w:rsidR="00AE1023" w:rsidRPr="00AE1023" w:rsidRDefault="00AE1023" w:rsidP="00AE1023">
      <w:pPr>
        <w:numPr>
          <w:ilvl w:val="1"/>
          <w:numId w:val="21"/>
        </w:numPr>
      </w:pPr>
      <w:r w:rsidRPr="00AE1023">
        <w:t xml:space="preserve">DQA reviewed supervision, service plans, assessments, and trainings.  </w:t>
      </w:r>
    </w:p>
    <w:p w14:paraId="6D1C0080" w14:textId="77777777" w:rsidR="00AE1023" w:rsidRPr="00AE1023" w:rsidRDefault="00AE1023" w:rsidP="00AE1023">
      <w:r w:rsidRPr="00AE1023">
        <w:t> </w:t>
      </w:r>
    </w:p>
    <w:p w14:paraId="664C13BA" w14:textId="14C5FC3B" w:rsidR="00AE1023" w:rsidRPr="00AE1023" w:rsidRDefault="00AE1023" w:rsidP="00AE1023">
      <w:pPr>
        <w:numPr>
          <w:ilvl w:val="0"/>
          <w:numId w:val="22"/>
        </w:numPr>
      </w:pPr>
      <w:r w:rsidRPr="00AE1023">
        <w:rPr>
          <w:b/>
          <w:bCs/>
        </w:rPr>
        <w:t xml:space="preserve">Coordination committee recruitment </w:t>
      </w:r>
    </w:p>
    <w:p w14:paraId="0F9DAFB3" w14:textId="628513E4" w:rsidR="00AE1023" w:rsidRPr="00AE1023" w:rsidRDefault="00AE1023" w:rsidP="00AE1023">
      <w:pPr>
        <w:numPr>
          <w:ilvl w:val="1"/>
          <w:numId w:val="23"/>
        </w:numPr>
      </w:pPr>
      <w:r w:rsidRPr="00AE1023">
        <w:t>The Coordination Committee continues to struggle with adequate numbers to meet quorum</w:t>
      </w:r>
      <w:r>
        <w:t xml:space="preserve"> especially in need of current or past consumers to join the committee.</w:t>
      </w:r>
    </w:p>
    <w:p w14:paraId="2F6A136F" w14:textId="77777777" w:rsidR="00AE1023" w:rsidRPr="00AE1023" w:rsidRDefault="00AE1023" w:rsidP="00AE1023">
      <w:pPr>
        <w:numPr>
          <w:ilvl w:val="1"/>
          <w:numId w:val="23"/>
        </w:numPr>
      </w:pPr>
      <w:r w:rsidRPr="00AE1023">
        <w:t xml:space="preserve">Coordination Committee </w:t>
      </w:r>
      <w:proofErr w:type="gramStart"/>
      <w:r w:rsidRPr="00AE1023">
        <w:t>is in need of</w:t>
      </w:r>
      <w:proofErr w:type="gramEnd"/>
      <w:r w:rsidRPr="00AE1023">
        <w:t xml:space="preserve"> consumers with lived experience.  Please share this information with anyone you know who may be interested in joining.</w:t>
      </w:r>
    </w:p>
    <w:p w14:paraId="13786603" w14:textId="77777777" w:rsidR="00AE1023" w:rsidRPr="00AE1023" w:rsidRDefault="00AE1023" w:rsidP="00AE1023">
      <w:pPr>
        <w:numPr>
          <w:ilvl w:val="1"/>
          <w:numId w:val="23"/>
        </w:numPr>
      </w:pPr>
      <w:r w:rsidRPr="00AE1023">
        <w:t>If interested in joining, please contact Heather Lind at hlind@lacrossecounty.org</w:t>
      </w:r>
    </w:p>
    <w:p w14:paraId="0CEE4F05" w14:textId="77777777" w:rsidR="00AE1023" w:rsidRPr="00AE1023" w:rsidRDefault="00AE1023" w:rsidP="00AE1023">
      <w:r w:rsidRPr="00AE1023">
        <w:t> </w:t>
      </w:r>
    </w:p>
    <w:p w14:paraId="75F1E31F" w14:textId="74209A87" w:rsidR="00AE1023" w:rsidRPr="00AE1023" w:rsidRDefault="00AE1023" w:rsidP="00AE1023"/>
    <w:p w14:paraId="5BA32202" w14:textId="35653C91" w:rsidR="00AE1023" w:rsidRPr="00AE1023" w:rsidRDefault="00AE1023" w:rsidP="00AE1023">
      <w:pPr>
        <w:numPr>
          <w:ilvl w:val="0"/>
          <w:numId w:val="24"/>
        </w:numPr>
      </w:pPr>
      <w:r w:rsidRPr="00AE1023">
        <w:rPr>
          <w:b/>
          <w:bCs/>
        </w:rPr>
        <w:t xml:space="preserve">Vendors who subcontract employees </w:t>
      </w:r>
    </w:p>
    <w:p w14:paraId="1C5C8969" w14:textId="77777777" w:rsidR="00AE1023" w:rsidRPr="00AE1023" w:rsidRDefault="00AE1023" w:rsidP="00AE1023">
      <w:pPr>
        <w:numPr>
          <w:ilvl w:val="1"/>
          <w:numId w:val="24"/>
        </w:numPr>
      </w:pPr>
      <w:r w:rsidRPr="00AE1023">
        <w:t xml:space="preserve">WRIC was made aware that some vendors throughout the state have been audited by DWD and were made aware there are limits on subcontracting employees.  Please be mindful to follow DWD rules and regulations.  What </w:t>
      </w:r>
      <w:proofErr w:type="gramStart"/>
      <w:r w:rsidRPr="00AE1023">
        <w:t>this</w:t>
      </w:r>
      <w:proofErr w:type="gramEnd"/>
      <w:r w:rsidRPr="00AE1023">
        <w:t xml:space="preserve"> means for you, as contracted providers, you cannot sub-contract staff that bill for contracted services. </w:t>
      </w:r>
    </w:p>
    <w:p w14:paraId="25103D17" w14:textId="77777777" w:rsidR="00AE1023" w:rsidRPr="00AE1023" w:rsidRDefault="00AE1023" w:rsidP="00AE1023">
      <w:r w:rsidRPr="00AE1023">
        <w:t> </w:t>
      </w:r>
    </w:p>
    <w:p w14:paraId="7B045AD1" w14:textId="77777777" w:rsidR="00AE1023" w:rsidRPr="00AE1023" w:rsidRDefault="00AE1023" w:rsidP="00AE1023">
      <w:r w:rsidRPr="00AE1023">
        <w:t> </w:t>
      </w:r>
    </w:p>
    <w:p w14:paraId="711CFE5B" w14:textId="44604C6F" w:rsidR="00AE1023" w:rsidRPr="00AE1023" w:rsidRDefault="00AE1023" w:rsidP="00AE1023">
      <w:pPr>
        <w:numPr>
          <w:ilvl w:val="0"/>
          <w:numId w:val="25"/>
        </w:numPr>
      </w:pPr>
      <w:r w:rsidRPr="00AE1023">
        <w:rPr>
          <w:b/>
          <w:bCs/>
        </w:rPr>
        <w:t>Areas of focus/need</w:t>
      </w:r>
    </w:p>
    <w:p w14:paraId="0056E1C6" w14:textId="77777777" w:rsidR="00AE1023" w:rsidRPr="00AE1023" w:rsidRDefault="00AE1023" w:rsidP="00AE1023">
      <w:r w:rsidRPr="00AE1023">
        <w:t>Continue to see service recovery needs addressing:</w:t>
      </w:r>
    </w:p>
    <w:p w14:paraId="20200E05" w14:textId="77777777" w:rsidR="00AE1023" w:rsidRPr="00AE1023" w:rsidRDefault="00AE1023" w:rsidP="00AE1023">
      <w:pPr>
        <w:numPr>
          <w:ilvl w:val="0"/>
          <w:numId w:val="26"/>
        </w:numPr>
      </w:pPr>
      <w:r w:rsidRPr="00AE1023">
        <w:t xml:space="preserve">Eating disorders </w:t>
      </w:r>
    </w:p>
    <w:p w14:paraId="08C6AC4A" w14:textId="77777777" w:rsidR="00AE1023" w:rsidRPr="00AE1023" w:rsidRDefault="00AE1023" w:rsidP="00AE1023">
      <w:pPr>
        <w:numPr>
          <w:ilvl w:val="0"/>
          <w:numId w:val="26"/>
        </w:numPr>
      </w:pPr>
      <w:r w:rsidRPr="00AE1023">
        <w:t>Obsessive Compulsive Disorder (OCD)</w:t>
      </w:r>
    </w:p>
    <w:p w14:paraId="48CC45E9" w14:textId="77777777" w:rsidR="00AE1023" w:rsidRPr="00AE1023" w:rsidRDefault="00AE1023" w:rsidP="00AE1023">
      <w:pPr>
        <w:numPr>
          <w:ilvl w:val="0"/>
          <w:numId w:val="26"/>
        </w:numPr>
      </w:pPr>
      <w:r w:rsidRPr="00AE1023">
        <w:t>Nutrition support in relation to mental health recovery</w:t>
      </w:r>
    </w:p>
    <w:p w14:paraId="5FA2C9DE" w14:textId="77777777" w:rsidR="00AE1023" w:rsidRPr="00AE1023" w:rsidRDefault="00AE1023" w:rsidP="00AE1023">
      <w:pPr>
        <w:numPr>
          <w:ilvl w:val="0"/>
          <w:numId w:val="26"/>
        </w:numPr>
      </w:pPr>
      <w:r w:rsidRPr="00AE1023">
        <w:t>Brain spotting</w:t>
      </w:r>
    </w:p>
    <w:p w14:paraId="03273BC5" w14:textId="77777777" w:rsidR="00AE1023" w:rsidRPr="00AE1023" w:rsidRDefault="00AE1023" w:rsidP="00AE1023">
      <w:pPr>
        <w:numPr>
          <w:ilvl w:val="0"/>
          <w:numId w:val="26"/>
        </w:numPr>
      </w:pPr>
      <w:r w:rsidRPr="00AE1023">
        <w:t xml:space="preserve">Mental health recovery in connection with social pragmatic communication support </w:t>
      </w:r>
    </w:p>
    <w:p w14:paraId="132C9A2F" w14:textId="77777777" w:rsidR="00AE1023" w:rsidRPr="00AE1023" w:rsidRDefault="00AE1023" w:rsidP="00AE1023">
      <w:pPr>
        <w:numPr>
          <w:ilvl w:val="0"/>
          <w:numId w:val="26"/>
        </w:numPr>
      </w:pPr>
      <w:r w:rsidRPr="00AE1023">
        <w:t xml:space="preserve">Psychological evals for youth to adult </w:t>
      </w:r>
    </w:p>
    <w:p w14:paraId="3123B799" w14:textId="77777777" w:rsidR="00AE1023" w:rsidRPr="00AE1023" w:rsidRDefault="00AE1023" w:rsidP="00AE1023">
      <w:pPr>
        <w:numPr>
          <w:ilvl w:val="0"/>
          <w:numId w:val="26"/>
        </w:numPr>
      </w:pPr>
      <w:r w:rsidRPr="00AE1023">
        <w:t>Youth substance use</w:t>
      </w:r>
    </w:p>
    <w:p w14:paraId="42472DBE" w14:textId="77777777" w:rsidR="00AE1023" w:rsidRPr="00AE1023" w:rsidRDefault="00AE1023" w:rsidP="00AE1023">
      <w:pPr>
        <w:numPr>
          <w:ilvl w:val="0"/>
          <w:numId w:val="26"/>
        </w:numPr>
      </w:pPr>
      <w:r w:rsidRPr="00AE1023">
        <w:t>DBT therapists (groups mainly)</w:t>
      </w:r>
    </w:p>
    <w:p w14:paraId="3FB29E9A" w14:textId="77777777" w:rsidR="00AE1023" w:rsidRPr="00AE1023" w:rsidRDefault="00AE1023" w:rsidP="00AE1023">
      <w:pPr>
        <w:numPr>
          <w:ilvl w:val="0"/>
          <w:numId w:val="26"/>
        </w:numPr>
      </w:pPr>
      <w:r w:rsidRPr="00AE1023">
        <w:t xml:space="preserve">Providers with strong boundaries to support consumer needs who are diagnosed </w:t>
      </w:r>
      <w:proofErr w:type="gramStart"/>
      <w:r w:rsidRPr="00AE1023">
        <w:t>with,  Borderline</w:t>
      </w:r>
      <w:proofErr w:type="gramEnd"/>
      <w:r w:rsidRPr="00AE1023">
        <w:t xml:space="preserve"> Personality Disorder (in all service arrays)</w:t>
      </w:r>
    </w:p>
    <w:p w14:paraId="427B45D9" w14:textId="77777777" w:rsidR="00AE1023" w:rsidRPr="00AE1023" w:rsidRDefault="00AE1023" w:rsidP="00AE1023">
      <w:pPr>
        <w:numPr>
          <w:ilvl w:val="0"/>
          <w:numId w:val="26"/>
        </w:numPr>
      </w:pPr>
      <w:r w:rsidRPr="00AE1023">
        <w:t>Housing Navigation supports</w:t>
      </w:r>
    </w:p>
    <w:p w14:paraId="0E336FC0" w14:textId="77777777" w:rsidR="00AE1023" w:rsidRPr="00AE1023" w:rsidRDefault="00AE1023" w:rsidP="00AE1023">
      <w:pPr>
        <w:numPr>
          <w:ilvl w:val="0"/>
          <w:numId w:val="26"/>
        </w:numPr>
      </w:pPr>
      <w:r w:rsidRPr="00AE1023">
        <w:t xml:space="preserve">Continue to look for vendors of all arrays to support Monroe and Jackson </w:t>
      </w:r>
    </w:p>
    <w:p w14:paraId="133CC28B" w14:textId="77777777" w:rsidR="00AE1023" w:rsidRDefault="00AE1023"/>
    <w:sectPr w:rsidR="00AE1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9FC"/>
    <w:multiLevelType w:val="multilevel"/>
    <w:tmpl w:val="0256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74A2E"/>
    <w:multiLevelType w:val="multilevel"/>
    <w:tmpl w:val="FCC6C6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A4DF9"/>
    <w:multiLevelType w:val="multilevel"/>
    <w:tmpl w:val="11707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B1A26"/>
    <w:multiLevelType w:val="multilevel"/>
    <w:tmpl w:val="96D4D7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4301D"/>
    <w:multiLevelType w:val="multilevel"/>
    <w:tmpl w:val="1B90B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037C"/>
    <w:multiLevelType w:val="multilevel"/>
    <w:tmpl w:val="D63EC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E21DA0"/>
    <w:multiLevelType w:val="multilevel"/>
    <w:tmpl w:val="643CB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A5E71"/>
    <w:multiLevelType w:val="multilevel"/>
    <w:tmpl w:val="C65A1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03B20"/>
    <w:multiLevelType w:val="multilevel"/>
    <w:tmpl w:val="E03E38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704EF"/>
    <w:multiLevelType w:val="multilevel"/>
    <w:tmpl w:val="D0781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34D38"/>
    <w:multiLevelType w:val="multilevel"/>
    <w:tmpl w:val="4CC478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1C06C5"/>
    <w:multiLevelType w:val="multilevel"/>
    <w:tmpl w:val="C9D2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C4059A"/>
    <w:multiLevelType w:val="multilevel"/>
    <w:tmpl w:val="1448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73D42"/>
    <w:multiLevelType w:val="multilevel"/>
    <w:tmpl w:val="898C2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7E56F8"/>
    <w:multiLevelType w:val="multilevel"/>
    <w:tmpl w:val="47C4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D250D4"/>
    <w:multiLevelType w:val="multilevel"/>
    <w:tmpl w:val="4620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74D8C"/>
    <w:multiLevelType w:val="multilevel"/>
    <w:tmpl w:val="566E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D148FE"/>
    <w:multiLevelType w:val="multilevel"/>
    <w:tmpl w:val="F38C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564E5"/>
    <w:multiLevelType w:val="multilevel"/>
    <w:tmpl w:val="C84C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161961"/>
    <w:multiLevelType w:val="multilevel"/>
    <w:tmpl w:val="9C3AF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349074">
    <w:abstractNumId w:val="7"/>
    <w:lvlOverride w:ilvl="0">
      <w:startOverride w:val="1"/>
    </w:lvlOverride>
  </w:num>
  <w:num w:numId="2" w16cid:durableId="1779249481">
    <w:abstractNumId w:val="15"/>
    <w:lvlOverride w:ilvl="0">
      <w:startOverride w:val="1"/>
    </w:lvlOverride>
  </w:num>
  <w:num w:numId="3" w16cid:durableId="1304232111">
    <w:abstractNumId w:val="4"/>
    <w:lvlOverride w:ilvl="0">
      <w:startOverride w:val="2"/>
    </w:lvlOverride>
  </w:num>
  <w:num w:numId="4" w16cid:durableId="4287477">
    <w:abstractNumId w:val="14"/>
    <w:lvlOverride w:ilvl="0">
      <w:startOverride w:val="1"/>
    </w:lvlOverride>
  </w:num>
  <w:num w:numId="5" w16cid:durableId="1377391156">
    <w:abstractNumId w:val="11"/>
    <w:lvlOverride w:ilvl="0">
      <w:startOverride w:val="1"/>
    </w:lvlOverride>
  </w:num>
  <w:num w:numId="6" w16cid:durableId="1443915067">
    <w:abstractNumId w:val="16"/>
    <w:lvlOverride w:ilvl="0">
      <w:startOverride w:val="1"/>
    </w:lvlOverride>
  </w:num>
  <w:num w:numId="7" w16cid:durableId="1677885086">
    <w:abstractNumId w:val="12"/>
    <w:lvlOverride w:ilvl="0">
      <w:startOverride w:val="2"/>
    </w:lvlOverride>
  </w:num>
  <w:num w:numId="8" w16cid:durableId="1175342078">
    <w:abstractNumId w:val="6"/>
    <w:lvlOverride w:ilvl="0">
      <w:startOverride w:val="1"/>
    </w:lvlOverride>
  </w:num>
  <w:num w:numId="9" w16cid:durableId="1518693686">
    <w:abstractNumId w:val="6"/>
    <w:lvlOverride w:ilvl="0"/>
    <w:lvlOverride w:ilvl="1">
      <w:startOverride w:val="1"/>
    </w:lvlOverride>
  </w:num>
  <w:num w:numId="10" w16cid:durableId="1415589819">
    <w:abstractNumId w:val="17"/>
    <w:lvlOverride w:ilvl="0">
      <w:startOverride w:val="1"/>
    </w:lvlOverride>
  </w:num>
  <w:num w:numId="11" w16cid:durableId="390080240">
    <w:abstractNumId w:val="18"/>
    <w:lvlOverride w:ilvl="0">
      <w:startOverride w:val="1"/>
    </w:lvlOverride>
  </w:num>
  <w:num w:numId="12" w16cid:durableId="110904367">
    <w:abstractNumId w:val="5"/>
    <w:lvlOverride w:ilvl="0">
      <w:startOverride w:val="2"/>
    </w:lvlOverride>
  </w:num>
  <w:num w:numId="13" w16cid:durableId="1617642015">
    <w:abstractNumId w:val="13"/>
    <w:lvlOverride w:ilvl="0">
      <w:startOverride w:val="3"/>
    </w:lvlOverride>
  </w:num>
  <w:num w:numId="14" w16cid:durableId="1832716156">
    <w:abstractNumId w:val="13"/>
    <w:lvlOverride w:ilvl="0"/>
    <w:lvlOverride w:ilvl="1">
      <w:startOverride w:val="1"/>
    </w:lvlOverride>
  </w:num>
  <w:num w:numId="15" w16cid:durableId="1382052010">
    <w:abstractNumId w:val="10"/>
    <w:lvlOverride w:ilvl="0">
      <w:startOverride w:val="4"/>
    </w:lvlOverride>
  </w:num>
  <w:num w:numId="16" w16cid:durableId="1672290322">
    <w:abstractNumId w:val="10"/>
    <w:lvlOverride w:ilvl="0"/>
    <w:lvlOverride w:ilvl="1">
      <w:startOverride w:val="1"/>
    </w:lvlOverride>
  </w:num>
  <w:num w:numId="17" w16cid:durableId="1826819395">
    <w:abstractNumId w:val="1"/>
    <w:lvlOverride w:ilvl="0">
      <w:startOverride w:val="5"/>
    </w:lvlOverride>
  </w:num>
  <w:num w:numId="18" w16cid:durableId="1258781993">
    <w:abstractNumId w:val="1"/>
    <w:lvlOverride w:ilvl="0"/>
    <w:lvlOverride w:ilvl="1">
      <w:startOverride w:val="1"/>
    </w:lvlOverride>
  </w:num>
  <w:num w:numId="19" w16cid:durableId="302200969">
    <w:abstractNumId w:val="8"/>
    <w:lvlOverride w:ilvl="0">
      <w:startOverride w:val="6"/>
    </w:lvlOverride>
  </w:num>
  <w:num w:numId="20" w16cid:durableId="429469441">
    <w:abstractNumId w:val="19"/>
    <w:lvlOverride w:ilvl="0">
      <w:startOverride w:val="7"/>
    </w:lvlOverride>
  </w:num>
  <w:num w:numId="21" w16cid:durableId="1235091463">
    <w:abstractNumId w:val="19"/>
    <w:lvlOverride w:ilvl="0"/>
    <w:lvlOverride w:ilvl="1">
      <w:startOverride w:val="1"/>
    </w:lvlOverride>
  </w:num>
  <w:num w:numId="22" w16cid:durableId="276448757">
    <w:abstractNumId w:val="3"/>
    <w:lvlOverride w:ilvl="0">
      <w:startOverride w:val="8"/>
    </w:lvlOverride>
  </w:num>
  <w:num w:numId="23" w16cid:durableId="66196457">
    <w:abstractNumId w:val="3"/>
    <w:lvlOverride w:ilvl="0"/>
    <w:lvlOverride w:ilvl="1">
      <w:startOverride w:val="1"/>
    </w:lvlOverride>
  </w:num>
  <w:num w:numId="24" w16cid:durableId="413669594">
    <w:abstractNumId w:val="2"/>
    <w:lvlOverride w:ilvl="0">
      <w:startOverride w:val="9"/>
    </w:lvlOverride>
  </w:num>
  <w:num w:numId="25" w16cid:durableId="1961960333">
    <w:abstractNumId w:val="0"/>
    <w:lvlOverride w:ilvl="0">
      <w:startOverride w:val="10"/>
    </w:lvlOverride>
  </w:num>
  <w:num w:numId="26" w16cid:durableId="1281230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23"/>
    <w:rsid w:val="000334F4"/>
    <w:rsid w:val="00AE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B8CB"/>
  <w15:chartTrackingRefBased/>
  <w15:docId w15:val="{57A84142-C7C9-4C95-A52B-E27F02A3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023"/>
    <w:rPr>
      <w:rFonts w:eastAsiaTheme="majorEastAsia" w:cstheme="majorBidi"/>
      <w:color w:val="272727" w:themeColor="text1" w:themeTint="D8"/>
    </w:rPr>
  </w:style>
  <w:style w:type="paragraph" w:styleId="Title">
    <w:name w:val="Title"/>
    <w:basedOn w:val="Normal"/>
    <w:next w:val="Normal"/>
    <w:link w:val="TitleChar"/>
    <w:uiPriority w:val="10"/>
    <w:qFormat/>
    <w:rsid w:val="00AE1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23"/>
    <w:pPr>
      <w:spacing w:before="160"/>
      <w:jc w:val="center"/>
    </w:pPr>
    <w:rPr>
      <w:i/>
      <w:iCs/>
      <w:color w:val="404040" w:themeColor="text1" w:themeTint="BF"/>
    </w:rPr>
  </w:style>
  <w:style w:type="character" w:customStyle="1" w:styleId="QuoteChar">
    <w:name w:val="Quote Char"/>
    <w:basedOn w:val="DefaultParagraphFont"/>
    <w:link w:val="Quote"/>
    <w:uiPriority w:val="29"/>
    <w:rsid w:val="00AE1023"/>
    <w:rPr>
      <w:i/>
      <w:iCs/>
      <w:color w:val="404040" w:themeColor="text1" w:themeTint="BF"/>
    </w:rPr>
  </w:style>
  <w:style w:type="paragraph" w:styleId="ListParagraph">
    <w:name w:val="List Paragraph"/>
    <w:basedOn w:val="Normal"/>
    <w:uiPriority w:val="34"/>
    <w:qFormat/>
    <w:rsid w:val="00AE1023"/>
    <w:pPr>
      <w:ind w:left="720"/>
      <w:contextualSpacing/>
    </w:pPr>
  </w:style>
  <w:style w:type="character" w:styleId="IntenseEmphasis">
    <w:name w:val="Intense Emphasis"/>
    <w:basedOn w:val="DefaultParagraphFont"/>
    <w:uiPriority w:val="21"/>
    <w:qFormat/>
    <w:rsid w:val="00AE1023"/>
    <w:rPr>
      <w:i/>
      <w:iCs/>
      <w:color w:val="0F4761" w:themeColor="accent1" w:themeShade="BF"/>
    </w:rPr>
  </w:style>
  <w:style w:type="paragraph" w:styleId="IntenseQuote">
    <w:name w:val="Intense Quote"/>
    <w:basedOn w:val="Normal"/>
    <w:next w:val="Normal"/>
    <w:link w:val="IntenseQuoteChar"/>
    <w:uiPriority w:val="30"/>
    <w:qFormat/>
    <w:rsid w:val="00AE1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023"/>
    <w:rPr>
      <w:i/>
      <w:iCs/>
      <w:color w:val="0F4761" w:themeColor="accent1" w:themeShade="BF"/>
    </w:rPr>
  </w:style>
  <w:style w:type="character" w:styleId="IntenseReference">
    <w:name w:val="Intense Reference"/>
    <w:basedOn w:val="DefaultParagraphFont"/>
    <w:uiPriority w:val="32"/>
    <w:qFormat/>
    <w:rsid w:val="00AE1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6492">
      <w:bodyDiv w:val="1"/>
      <w:marLeft w:val="0"/>
      <w:marRight w:val="0"/>
      <w:marTop w:val="0"/>
      <w:marBottom w:val="0"/>
      <w:divBdr>
        <w:top w:val="none" w:sz="0" w:space="0" w:color="auto"/>
        <w:left w:val="none" w:sz="0" w:space="0" w:color="auto"/>
        <w:bottom w:val="none" w:sz="0" w:space="0" w:color="auto"/>
        <w:right w:val="none" w:sz="0" w:space="0" w:color="auto"/>
      </w:divBdr>
    </w:div>
    <w:div w:id="16059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Daubert</dc:creator>
  <cp:keywords/>
  <dc:description/>
  <cp:lastModifiedBy>Ellen Daubert</cp:lastModifiedBy>
  <cp:revision>1</cp:revision>
  <dcterms:created xsi:type="dcterms:W3CDTF">2026-07-07T19:03:00Z</dcterms:created>
  <dcterms:modified xsi:type="dcterms:W3CDTF">2026-07-07T19:09:00Z</dcterms:modified>
</cp:coreProperties>
</file>